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ADA Compliant Websites Checklist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after="0" w:afterAutospacing="0"/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 business runs the danger of being sued if it does not physically accommodate all customers.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State courts will be in charge of interpreting the ADA because there will be no overbroad federal ruling on the matter. 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Website images should have alternative text (alt-text).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Periodic WCAG audits should be planned to maintain website accessibility.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afterAutospacing="0"/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Less than 2% of websites worldwide are fully ADA-compliant.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To ensure that you don't exclude anyone, your best bet is to develop (or rebuild) your website to be 100% compliant.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To ensure accessibility as you add content and make changes, test your website early, fix issues, and actively test it again frequently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 website must be ADA-compliant if it sells goods and services to the general public or on behalf of another company.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ADA regulations apply to all or most online-only services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/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To ensure accessibility as you add content and make changes, test your website early, fix issues, and actively test it again frequently. 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Creating accessible videos is crucial to your ADA website accessibility training. All team members who produce, edit, and post videos ought to be familiar with these components.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Even after multiple changes in the much more web-oriented era of 2008, the ADA does not specifically address online compliance.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/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To assist webmasters in creating or improving accessible websites, Accessible Metrics as well as the Website Accessibility Checklist also utilize WCAG 2.0 AA.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The significance of compliance levels AAA, AA, and A for users differs most from one another.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0" w:afterAutospacing="0"/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Commercial websites are now considered places of public accommodation by several American courts, making them governed by ADA guidelines.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Everyone can access the internet equally well thanks to web accessibility.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 business runs the danger of being sued if it does not physically accommodate all customers.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/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Businesses are better positioned to prosper in our increasingly connected and civically engaged society when they plan for accessibility.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Making your website more easily accessible will save you time, money, and effort while also improving your public image.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Documentation requirements for many compliance issues are outlined in law or great detail by government organizations. 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